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6B038" w14:textId="42EC14C4" w:rsidR="00D91214" w:rsidRPr="00D91214" w:rsidRDefault="00D91214" w:rsidP="00B966DE">
      <w:pPr>
        <w:spacing w:before="100" w:beforeAutospacing="1" w:after="100" w:afterAutospacing="1" w:line="240" w:lineRule="auto"/>
        <w:rPr>
          <w:rFonts w:ascii="Times New Roman" w:eastAsia="Times New Roman" w:hAnsi="Times New Roman" w:cs="Times New Roman"/>
          <w:b/>
          <w:bCs/>
          <w:kern w:val="0"/>
          <w:sz w:val="36"/>
          <w:szCs w:val="36"/>
          <w:lang w:eastAsia="en-GB"/>
          <w14:ligatures w14:val="none"/>
        </w:rPr>
      </w:pPr>
      <w:r w:rsidRPr="00D91214">
        <w:rPr>
          <w:rFonts w:ascii="Times New Roman" w:eastAsia="Times New Roman" w:hAnsi="Times New Roman" w:cs="Times New Roman"/>
          <w:b/>
          <w:bCs/>
          <w:kern w:val="0"/>
          <w:sz w:val="36"/>
          <w:szCs w:val="36"/>
          <w:lang w:eastAsia="en-GB"/>
          <w14:ligatures w14:val="none"/>
        </w:rPr>
        <w:t>Clinical Trials</w:t>
      </w:r>
      <w:r>
        <w:rPr>
          <w:rFonts w:ascii="Times New Roman" w:eastAsia="Times New Roman" w:hAnsi="Times New Roman" w:cs="Times New Roman"/>
          <w:b/>
          <w:bCs/>
          <w:kern w:val="0"/>
          <w:sz w:val="36"/>
          <w:szCs w:val="36"/>
          <w:lang w:eastAsia="en-GB"/>
          <w14:ligatures w14:val="none"/>
        </w:rPr>
        <w:t>. For those serious about treatment.</w:t>
      </w:r>
    </w:p>
    <w:p w14:paraId="6D8F6488" w14:textId="77777777" w:rsidR="00D91214" w:rsidRPr="00D91214" w:rsidRDefault="00D91214" w:rsidP="00B966DE">
      <w:pPr>
        <w:spacing w:before="100" w:beforeAutospacing="1" w:after="100" w:afterAutospacing="1" w:line="240" w:lineRule="auto"/>
        <w:rPr>
          <w:rFonts w:ascii="Times New Roman" w:eastAsia="Times New Roman" w:hAnsi="Times New Roman" w:cs="Times New Roman"/>
          <w:b/>
          <w:bCs/>
          <w:i/>
          <w:iCs/>
          <w:kern w:val="0"/>
          <w:sz w:val="28"/>
          <w:szCs w:val="28"/>
          <w:lang w:eastAsia="en-GB"/>
          <w14:ligatures w14:val="none"/>
        </w:rPr>
      </w:pPr>
      <w:r w:rsidRPr="00D91214">
        <w:rPr>
          <w:rFonts w:ascii="Times New Roman" w:eastAsia="Times New Roman" w:hAnsi="Times New Roman" w:cs="Times New Roman"/>
          <w:b/>
          <w:bCs/>
          <w:i/>
          <w:iCs/>
          <w:kern w:val="0"/>
          <w:sz w:val="28"/>
          <w:szCs w:val="28"/>
          <w:lang w:eastAsia="en-GB"/>
          <w14:ligatures w14:val="none"/>
        </w:rPr>
        <w:t>Summaries for easy reading</w:t>
      </w:r>
    </w:p>
    <w:p w14:paraId="10046392" w14:textId="5FC6ED6D" w:rsidR="00B966DE" w:rsidRPr="00D91214" w:rsidRDefault="00B966DE" w:rsidP="00B966DE">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D91214">
        <w:rPr>
          <w:rFonts w:ascii="Times New Roman" w:eastAsia="Times New Roman" w:hAnsi="Times New Roman" w:cs="Times New Roman"/>
          <w:b/>
          <w:bCs/>
          <w:kern w:val="0"/>
          <w:sz w:val="28"/>
          <w:szCs w:val="28"/>
          <w:lang w:eastAsia="en-GB"/>
          <w14:ligatures w14:val="none"/>
        </w:rPr>
        <w:t>Paper 1 — Ohta, Pharmacology &amp; Therapeutics (2014)</w:t>
      </w:r>
      <w:r w:rsidRPr="00D91214">
        <w:rPr>
          <w:rFonts w:ascii="Times New Roman" w:eastAsia="Times New Roman" w:hAnsi="Times New Roman" w:cs="Times New Roman"/>
          <w:kern w:val="0"/>
          <w:sz w:val="28"/>
          <w:szCs w:val="28"/>
          <w:lang w:eastAsia="en-GB"/>
          <w14:ligatures w14:val="none"/>
        </w:rPr>
        <w:t xml:space="preserve"> The most comprehensive of the four. Ohta, the pioneer of hydrogen medicine, reviews the entire field from its origins. The foundational 2007 discovery is described: H₂ selectively neutralises the most damaging reactive oxygen species (hydroxyl radical ·OH and </w:t>
      </w:r>
      <w:proofErr w:type="spellStart"/>
      <w:r w:rsidRPr="00D91214">
        <w:rPr>
          <w:rFonts w:ascii="Times New Roman" w:eastAsia="Times New Roman" w:hAnsi="Times New Roman" w:cs="Times New Roman"/>
          <w:kern w:val="0"/>
          <w:sz w:val="28"/>
          <w:szCs w:val="28"/>
          <w:lang w:eastAsia="en-GB"/>
          <w14:ligatures w14:val="none"/>
        </w:rPr>
        <w:t>peroxynitrite</w:t>
      </w:r>
      <w:proofErr w:type="spellEnd"/>
      <w:r w:rsidRPr="00D91214">
        <w:rPr>
          <w:rFonts w:ascii="Times New Roman" w:eastAsia="Times New Roman" w:hAnsi="Times New Roman" w:cs="Times New Roman"/>
          <w:kern w:val="0"/>
          <w:sz w:val="28"/>
          <w:szCs w:val="28"/>
          <w:lang w:eastAsia="en-GB"/>
          <w14:ligatures w14:val="none"/>
        </w:rPr>
        <w:t xml:space="preserve"> ONOO⁻) while leaving beneficial signalling ROS untouched — making it fundamentally different from conventional antioxidants like vitamin C. The paper covers all delivery methods (inhalation, drinking, injection, bath, eye drops), documents over 10 clinical examinations across diseases including Parkinson's, rheumatoid arthritis, metabolic syndrome, cancer radiotherapy side effects and haemodialysis, and proposes molecular mechanisms including NRF-2 upregulation, cytokine downregulation, and anti-apoptotic gene regulation. Concludes that H₂ has an exceptional safety profile and broad therapeutic potential.</w:t>
      </w:r>
    </w:p>
    <w:p w14:paraId="6D3311EA" w14:textId="0FA93D0E" w:rsidR="00B966DE" w:rsidRDefault="003C521C" w:rsidP="00B966DE">
      <w:pPr>
        <w:spacing w:before="100" w:beforeAutospacing="1" w:after="100" w:afterAutospacing="1" w:line="240" w:lineRule="auto"/>
        <w:rPr>
          <w:rFonts w:ascii="Times New Roman" w:eastAsia="Times New Roman" w:hAnsi="Times New Roman" w:cs="Times New Roman"/>
          <w:kern w:val="0"/>
          <w:lang w:eastAsia="en-GB"/>
          <w14:ligatures w14:val="none"/>
        </w:rPr>
      </w:pPr>
      <w:r>
        <w:object w:dxaOrig="1539" w:dyaOrig="997" w14:anchorId="17DD1D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9.2pt;height:50.4pt" o:ole="">
            <v:imagedata r:id="rId4" o:title=""/>
          </v:shape>
          <o:OLEObject Type="Embed" ProgID="Package" ShapeID="_x0000_i1033" DrawAspect="Icon" ObjectID="_1842342305" r:id="rId5"/>
        </w:object>
      </w:r>
    </w:p>
    <w:p w14:paraId="136C896B" w14:textId="77777777" w:rsidR="00B966DE" w:rsidRPr="00B966DE" w:rsidRDefault="005C1B3D" w:rsidP="00B966DE">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pict w14:anchorId="0EBFDC72">
          <v:rect id="_x0000_i1026" style="width:0;height:1.5pt" o:hralign="center" o:hrstd="t" o:hr="t" fillcolor="#a0a0a0" stroked="f"/>
        </w:pict>
      </w:r>
    </w:p>
    <w:p w14:paraId="45E09C3F" w14:textId="77777777" w:rsidR="00B966DE" w:rsidRPr="00D91214" w:rsidRDefault="00B966DE" w:rsidP="00B966DE">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D91214">
        <w:rPr>
          <w:rFonts w:ascii="Times New Roman" w:eastAsia="Times New Roman" w:hAnsi="Times New Roman" w:cs="Times New Roman"/>
          <w:b/>
          <w:bCs/>
          <w:kern w:val="0"/>
          <w:sz w:val="28"/>
          <w:szCs w:val="28"/>
          <w:lang w:eastAsia="en-GB"/>
          <w14:ligatures w14:val="none"/>
        </w:rPr>
        <w:t>Paper 2 — Hong et al., Medicine (2021)</w:t>
      </w:r>
      <w:r w:rsidRPr="00D91214">
        <w:rPr>
          <w:rFonts w:ascii="Times New Roman" w:eastAsia="Times New Roman" w:hAnsi="Times New Roman" w:cs="Times New Roman"/>
          <w:kern w:val="0"/>
          <w:sz w:val="28"/>
          <w:szCs w:val="28"/>
          <w:lang w:eastAsia="en-GB"/>
          <w14:ligatures w14:val="none"/>
        </w:rPr>
        <w:t xml:space="preserve"> The most directly relevant paper to Battersea Park Clinic's offering. This is the first published clinical trial combining PBM and H₂ simultaneously in human patients — specifically 18 Parkinson's disease patients over two weeks. The rationale is precisely the synergy described in the Synapse Session: PBM boosts mitochondrial ATP production but generates excess ROS as a byproduct; H₂ selectively clears those ROS. UPDRS scores (the standard Parkinson's severity measure) improved significantly from week one, with no adverse events recorded. Improvements persisted one week after treatment cessation. The authors explicitly call for larger trials and describe the combination as a "multipronged approach" targeting PD's multifactorial pathogenesis. This paper is the direct peer-reviewed evidence base for the H₂ + PBM combination session.</w:t>
      </w:r>
    </w:p>
    <w:p w14:paraId="378E9F89" w14:textId="7DC8023D" w:rsidR="00B966DE" w:rsidRPr="00B966DE" w:rsidRDefault="00D91214" w:rsidP="00B966DE">
      <w:pPr>
        <w:spacing w:before="100" w:beforeAutospacing="1" w:after="100" w:afterAutospacing="1" w:line="240" w:lineRule="auto"/>
        <w:rPr>
          <w:rFonts w:ascii="Times New Roman" w:eastAsia="Times New Roman" w:hAnsi="Times New Roman" w:cs="Times New Roman"/>
          <w:kern w:val="0"/>
          <w:lang w:eastAsia="en-GB"/>
          <w14:ligatures w14:val="none"/>
        </w:rPr>
      </w:pPr>
      <w:r>
        <w:object w:dxaOrig="1539" w:dyaOrig="997" w14:anchorId="60ADF9B1">
          <v:shape id="_x0000_i1027" type="#_x0000_t75" style="width:79.2pt;height:50.4pt" o:ole="">
            <v:imagedata r:id="rId6" o:title=""/>
          </v:shape>
          <o:OLEObject Type="Embed" ProgID="Package" ShapeID="_x0000_i1027" DrawAspect="Icon" ObjectID="_1842342306" r:id="rId7"/>
        </w:object>
      </w:r>
    </w:p>
    <w:p w14:paraId="54D6F693" w14:textId="77777777" w:rsidR="00B966DE" w:rsidRPr="00B966DE" w:rsidRDefault="005C1B3D" w:rsidP="00B966DE">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pict w14:anchorId="7178B4AA">
          <v:rect id="_x0000_i1028" style="width:0;height:1.5pt" o:hralign="center" o:hrstd="t" o:hr="t" fillcolor="#a0a0a0" stroked="f"/>
        </w:pict>
      </w:r>
    </w:p>
    <w:p w14:paraId="55BE4F80" w14:textId="77777777" w:rsidR="00B966DE" w:rsidRPr="00D91214" w:rsidRDefault="00B966DE" w:rsidP="00B966DE">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D91214">
        <w:rPr>
          <w:rFonts w:ascii="Times New Roman" w:eastAsia="Times New Roman" w:hAnsi="Times New Roman" w:cs="Times New Roman"/>
          <w:b/>
          <w:bCs/>
          <w:kern w:val="0"/>
          <w:sz w:val="28"/>
          <w:szCs w:val="28"/>
          <w:lang w:eastAsia="en-GB"/>
          <w14:ligatures w14:val="none"/>
        </w:rPr>
        <w:t>Paper 3 — Ohta, Current Pharmaceutical Design (2011)</w:t>
      </w:r>
      <w:r w:rsidRPr="00D91214">
        <w:rPr>
          <w:rFonts w:ascii="Times New Roman" w:eastAsia="Times New Roman" w:hAnsi="Times New Roman" w:cs="Times New Roman"/>
          <w:kern w:val="0"/>
          <w:sz w:val="28"/>
          <w:szCs w:val="28"/>
          <w:lang w:eastAsia="en-GB"/>
          <w14:ligatures w14:val="none"/>
        </w:rPr>
        <w:t xml:space="preserve"> An earlier, broader review by the same lead author as Paper 1, covering the state of hydrogen medicine at the time of approximately 38 documented disease models. Focuses heavily on mechanisms — particularly H₂'s ability to penetrate the blood-brain barrier, reach mitochondria and cell nuclei, and its complete non-toxicity even at very high concentrations (established through decades of deep-sea diving use). Documents early clinical results in diabetes, metabolic syndrome and haemodialysis. Establishes the theoretical framework that informs all subsequent hydrogen research.</w:t>
      </w:r>
    </w:p>
    <w:p w14:paraId="59803B24" w14:textId="08E8164C" w:rsidR="00B966DE" w:rsidRPr="00B966DE" w:rsidRDefault="00D91214" w:rsidP="00B966DE">
      <w:pPr>
        <w:spacing w:before="100" w:beforeAutospacing="1" w:after="100" w:afterAutospacing="1" w:line="240" w:lineRule="auto"/>
        <w:rPr>
          <w:rFonts w:ascii="Times New Roman" w:eastAsia="Times New Roman" w:hAnsi="Times New Roman" w:cs="Times New Roman"/>
          <w:kern w:val="0"/>
          <w:lang w:eastAsia="en-GB"/>
          <w14:ligatures w14:val="none"/>
        </w:rPr>
      </w:pPr>
      <w:r>
        <w:object w:dxaOrig="1539" w:dyaOrig="997" w14:anchorId="36513C69">
          <v:shape id="_x0000_i1029" type="#_x0000_t75" style="width:79.2pt;height:50.4pt" o:ole="">
            <v:imagedata r:id="rId4" o:title=""/>
          </v:shape>
          <o:OLEObject Type="Embed" ProgID="Package" ShapeID="_x0000_i1029" DrawAspect="Icon" ObjectID="_1842342307" r:id="rId8"/>
        </w:object>
      </w:r>
    </w:p>
    <w:p w14:paraId="00FCC323" w14:textId="77777777" w:rsidR="00B966DE" w:rsidRPr="00B966DE" w:rsidRDefault="005C1B3D" w:rsidP="00B966DE">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pict w14:anchorId="3EB7C0E3">
          <v:rect id="_x0000_i1030" style="width:0;height:1.5pt" o:hralign="center" o:hrstd="t" o:hr="t" fillcolor="#a0a0a0" stroked="f"/>
        </w:pict>
      </w:r>
    </w:p>
    <w:p w14:paraId="688439E2" w14:textId="77777777" w:rsidR="00D91214" w:rsidRDefault="00D91214" w:rsidP="00B966DE">
      <w:pPr>
        <w:spacing w:before="100" w:beforeAutospacing="1" w:after="100" w:afterAutospacing="1" w:line="240" w:lineRule="auto"/>
        <w:rPr>
          <w:rFonts w:ascii="Times New Roman" w:eastAsia="Times New Roman" w:hAnsi="Times New Roman" w:cs="Times New Roman"/>
          <w:b/>
          <w:bCs/>
          <w:kern w:val="0"/>
          <w:lang w:eastAsia="en-GB"/>
          <w14:ligatures w14:val="none"/>
        </w:rPr>
      </w:pPr>
    </w:p>
    <w:p w14:paraId="7BD6BCD3" w14:textId="3110B1DD" w:rsidR="00B966DE" w:rsidRPr="00D91214" w:rsidRDefault="00B966DE" w:rsidP="00B966DE">
      <w:pPr>
        <w:spacing w:before="100" w:beforeAutospacing="1" w:after="100" w:afterAutospacing="1" w:line="240" w:lineRule="auto"/>
        <w:rPr>
          <w:rFonts w:ascii="Times New Roman" w:eastAsia="Times New Roman" w:hAnsi="Times New Roman" w:cs="Times New Roman"/>
          <w:kern w:val="0"/>
          <w:sz w:val="28"/>
          <w:szCs w:val="28"/>
          <w:lang w:eastAsia="en-GB"/>
          <w14:ligatures w14:val="none"/>
        </w:rPr>
      </w:pPr>
      <w:r w:rsidRPr="00D91214">
        <w:rPr>
          <w:rFonts w:ascii="Times New Roman" w:eastAsia="Times New Roman" w:hAnsi="Times New Roman" w:cs="Times New Roman"/>
          <w:b/>
          <w:bCs/>
          <w:kern w:val="0"/>
          <w:sz w:val="28"/>
          <w:szCs w:val="28"/>
          <w:lang w:eastAsia="en-GB"/>
          <w14:ligatures w14:val="none"/>
        </w:rPr>
        <w:t>Paper 4 — Ohno et al., Oxidative Medicine and Cellular Longevity (2012)</w:t>
      </w:r>
      <w:r w:rsidRPr="00D91214">
        <w:rPr>
          <w:rFonts w:ascii="Times New Roman" w:eastAsia="Times New Roman" w:hAnsi="Times New Roman" w:cs="Times New Roman"/>
          <w:kern w:val="0"/>
          <w:sz w:val="28"/>
          <w:szCs w:val="28"/>
          <w:lang w:eastAsia="en-GB"/>
          <w14:ligatures w14:val="none"/>
        </w:rPr>
        <w:t xml:space="preserve"> A systematic review documenting beneficial hydrogen effects across 63 disease models and six human diseases, with a comprehensive reference table organised by organ system. Particularly strong on neurodegenerative disease models — two Parkinson's models and three Alzheimer's models all showed significant benefit. Notes two important enigmas that remain unresolved: no clear dose-response relationship has been observed, and exogenously administered H₂ demonstrates marked effects even though intestinal bacteria already produce far larger quantities endogenously. These enigmas suggest H₂ may operate through signalling mechanisms beyond simple radical scavenging — an area of active ongoing research.</w:t>
      </w:r>
    </w:p>
    <w:p w14:paraId="288CA052" w14:textId="5FCF7107" w:rsidR="00B966DE" w:rsidRPr="00B966DE" w:rsidRDefault="00D91214" w:rsidP="00B966DE">
      <w:pPr>
        <w:spacing w:before="100" w:beforeAutospacing="1" w:after="100" w:afterAutospacing="1" w:line="240" w:lineRule="auto"/>
        <w:rPr>
          <w:rFonts w:ascii="Times New Roman" w:eastAsia="Times New Roman" w:hAnsi="Times New Roman" w:cs="Times New Roman"/>
          <w:kern w:val="0"/>
          <w:lang w:eastAsia="en-GB"/>
          <w14:ligatures w14:val="none"/>
        </w:rPr>
      </w:pPr>
      <w:r>
        <w:object w:dxaOrig="1539" w:dyaOrig="997" w14:anchorId="4FD4C38D">
          <v:shape id="_x0000_i1031" type="#_x0000_t75" style="width:79.2pt;height:50.4pt" o:ole="">
            <v:imagedata r:id="rId9" o:title=""/>
          </v:shape>
          <o:OLEObject Type="Embed" ProgID="Package" ShapeID="_x0000_i1031" DrawAspect="Icon" ObjectID="_1842342308" r:id="rId10"/>
        </w:object>
      </w:r>
    </w:p>
    <w:p w14:paraId="15D4E443" w14:textId="77777777" w:rsidR="00B966DE" w:rsidRDefault="00B966DE"/>
    <w:sectPr w:rsidR="00B966DE" w:rsidSect="00D91214">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6DE"/>
    <w:rsid w:val="0030747B"/>
    <w:rsid w:val="003C521C"/>
    <w:rsid w:val="00B966DE"/>
    <w:rsid w:val="00D91214"/>
    <w:rsid w:val="00E72D0A"/>
    <w:rsid w:val="00F117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96E7C"/>
  <w15:chartTrackingRefBased/>
  <w15:docId w15:val="{14CCEB1D-A159-4AB3-95FC-12DC66985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6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66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66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66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66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66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6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6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6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6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66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66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6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6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6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6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6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6DE"/>
    <w:rPr>
      <w:rFonts w:eastAsiaTheme="majorEastAsia" w:cstheme="majorBidi"/>
      <w:color w:val="272727" w:themeColor="text1" w:themeTint="D8"/>
    </w:rPr>
  </w:style>
  <w:style w:type="paragraph" w:styleId="Title">
    <w:name w:val="Title"/>
    <w:basedOn w:val="Normal"/>
    <w:next w:val="Normal"/>
    <w:link w:val="TitleChar"/>
    <w:uiPriority w:val="10"/>
    <w:qFormat/>
    <w:rsid w:val="00B966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6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6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6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6DE"/>
    <w:pPr>
      <w:spacing w:before="160"/>
      <w:jc w:val="center"/>
    </w:pPr>
    <w:rPr>
      <w:i/>
      <w:iCs/>
      <w:color w:val="404040" w:themeColor="text1" w:themeTint="BF"/>
    </w:rPr>
  </w:style>
  <w:style w:type="character" w:customStyle="1" w:styleId="QuoteChar">
    <w:name w:val="Quote Char"/>
    <w:basedOn w:val="DefaultParagraphFont"/>
    <w:link w:val="Quote"/>
    <w:uiPriority w:val="29"/>
    <w:rsid w:val="00B966DE"/>
    <w:rPr>
      <w:i/>
      <w:iCs/>
      <w:color w:val="404040" w:themeColor="text1" w:themeTint="BF"/>
    </w:rPr>
  </w:style>
  <w:style w:type="paragraph" w:styleId="ListParagraph">
    <w:name w:val="List Paragraph"/>
    <w:basedOn w:val="Normal"/>
    <w:uiPriority w:val="34"/>
    <w:qFormat/>
    <w:rsid w:val="00B966DE"/>
    <w:pPr>
      <w:ind w:left="720"/>
      <w:contextualSpacing/>
    </w:pPr>
  </w:style>
  <w:style w:type="character" w:styleId="IntenseEmphasis">
    <w:name w:val="Intense Emphasis"/>
    <w:basedOn w:val="DefaultParagraphFont"/>
    <w:uiPriority w:val="21"/>
    <w:qFormat/>
    <w:rsid w:val="00B966DE"/>
    <w:rPr>
      <w:i/>
      <w:iCs/>
      <w:color w:val="0F4761" w:themeColor="accent1" w:themeShade="BF"/>
    </w:rPr>
  </w:style>
  <w:style w:type="paragraph" w:styleId="IntenseQuote">
    <w:name w:val="Intense Quote"/>
    <w:basedOn w:val="Normal"/>
    <w:next w:val="Normal"/>
    <w:link w:val="IntenseQuoteChar"/>
    <w:uiPriority w:val="30"/>
    <w:qFormat/>
    <w:rsid w:val="00B966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66DE"/>
    <w:rPr>
      <w:i/>
      <w:iCs/>
      <w:color w:val="0F4761" w:themeColor="accent1" w:themeShade="BF"/>
    </w:rPr>
  </w:style>
  <w:style w:type="character" w:styleId="IntenseReference">
    <w:name w:val="Intense Reference"/>
    <w:basedOn w:val="DefaultParagraphFont"/>
    <w:uiPriority w:val="32"/>
    <w:qFormat/>
    <w:rsid w:val="00B966DE"/>
    <w:rPr>
      <w:b/>
      <w:bCs/>
      <w:smallCaps/>
      <w:color w:val="0F4761" w:themeColor="accent1" w:themeShade="BF"/>
      <w:spacing w:val="5"/>
    </w:rPr>
  </w:style>
  <w:style w:type="character" w:styleId="Hyperlink">
    <w:name w:val="Hyperlink"/>
    <w:basedOn w:val="DefaultParagraphFont"/>
    <w:uiPriority w:val="99"/>
    <w:unhideWhenUsed/>
    <w:rsid w:val="00B966DE"/>
    <w:rPr>
      <w:color w:val="467886" w:themeColor="hyperlink"/>
      <w:u w:val="single"/>
    </w:rPr>
  </w:style>
  <w:style w:type="character" w:styleId="UnresolvedMention">
    <w:name w:val="Unresolved Mention"/>
    <w:basedOn w:val="DefaultParagraphFont"/>
    <w:uiPriority w:val="99"/>
    <w:semiHidden/>
    <w:unhideWhenUsed/>
    <w:rsid w:val="00B96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oleObject" Target="embeddings/oleObject1.bin"/><Relationship Id="rId10" Type="http://schemas.openxmlformats.org/officeDocument/2006/relationships/oleObject" Target="embeddings/oleObject4.bin"/><Relationship Id="rId4" Type="http://schemas.openxmlformats.org/officeDocument/2006/relationships/image" Target="media/image1.emf"/><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Alastair Jessel</dc:creator>
  <cp:keywords/>
  <dc:description/>
  <cp:lastModifiedBy>Alastair Jessel</cp:lastModifiedBy>
  <cp:revision>2</cp:revision>
  <dcterms:created xsi:type="dcterms:W3CDTF">2026-06-07T11:35:00Z</dcterms:created>
  <dcterms:modified xsi:type="dcterms:W3CDTF">2026-06-07T11:59:00Z</dcterms:modified>
</cp:coreProperties>
</file>